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19C9D" w14:textId="77777777" w:rsidR="00232CEE" w:rsidRDefault="00CF0F77">
      <w:pPr>
        <w:pBdr>
          <w:top w:val="nil"/>
          <w:left w:val="nil"/>
          <w:bottom w:val="nil"/>
          <w:right w:val="nil"/>
          <w:between w:val="nil"/>
        </w:pBdr>
        <w:tabs>
          <w:tab w:val="center" w:pos="4153"/>
          <w:tab w:val="right" w:pos="8306"/>
          <w:tab w:val="center" w:pos="4513"/>
          <w:tab w:val="right" w:pos="9026"/>
        </w:tabs>
        <w:spacing w:before="120" w:after="120" w:line="240" w:lineRule="auto"/>
        <w:jc w:val="left"/>
        <w:rPr>
          <w:b/>
          <w:sz w:val="36"/>
          <w:szCs w:val="36"/>
        </w:rPr>
      </w:pPr>
      <w:r>
        <w:rPr>
          <w:b/>
          <w:sz w:val="36"/>
          <w:szCs w:val="36"/>
        </w:rPr>
        <w:t>Call-Off Schedule 6 (ICT Services)</w:t>
      </w:r>
    </w:p>
    <w:p w14:paraId="57A1EF5A" w14:textId="77777777" w:rsidR="00232CEE" w:rsidRDefault="00232CEE">
      <w:pPr>
        <w:pBdr>
          <w:top w:val="nil"/>
          <w:left w:val="nil"/>
          <w:bottom w:val="nil"/>
          <w:right w:val="nil"/>
          <w:between w:val="nil"/>
        </w:pBdr>
        <w:tabs>
          <w:tab w:val="left" w:pos="142"/>
        </w:tabs>
        <w:spacing w:before="120" w:after="120" w:line="240" w:lineRule="auto"/>
        <w:jc w:val="left"/>
        <w:rPr>
          <w:b/>
          <w:smallCaps/>
        </w:rPr>
      </w:pPr>
    </w:p>
    <w:p w14:paraId="7A6831FF" w14:textId="77777777" w:rsidR="00232CEE" w:rsidRDefault="00CF0F77">
      <w:pPr>
        <w:numPr>
          <w:ilvl w:val="0"/>
          <w:numId w:val="1"/>
        </w:numPr>
        <w:pBdr>
          <w:top w:val="nil"/>
          <w:left w:val="nil"/>
          <w:bottom w:val="nil"/>
          <w:right w:val="nil"/>
          <w:between w:val="nil"/>
        </w:pBdr>
        <w:tabs>
          <w:tab w:val="left" w:pos="142"/>
        </w:tabs>
        <w:spacing w:before="120" w:after="120" w:line="240" w:lineRule="auto"/>
        <w:ind w:left="426" w:hanging="426"/>
        <w:jc w:val="left"/>
        <w:rPr>
          <w:b/>
          <w:smallCaps/>
        </w:rPr>
      </w:pPr>
      <w:r>
        <w:rPr>
          <w:b/>
          <w:smallCaps/>
        </w:rPr>
        <w:t>D</w:t>
      </w:r>
      <w:r>
        <w:rPr>
          <w:b/>
        </w:rPr>
        <w:t>efinitions</w:t>
      </w:r>
    </w:p>
    <w:p w14:paraId="0A530FD5" w14:textId="77777777" w:rsidR="00232CEE" w:rsidRDefault="00CF0F77">
      <w:pPr>
        <w:numPr>
          <w:ilvl w:val="1"/>
          <w:numId w:val="1"/>
        </w:numPr>
        <w:pBdr>
          <w:top w:val="nil"/>
          <w:left w:val="nil"/>
          <w:bottom w:val="nil"/>
          <w:right w:val="nil"/>
          <w:between w:val="nil"/>
        </w:pBdr>
        <w:tabs>
          <w:tab w:val="left" w:pos="1134"/>
          <w:tab w:val="left" w:pos="1134"/>
        </w:tabs>
        <w:spacing w:before="120" w:after="120" w:line="240" w:lineRule="auto"/>
        <w:ind w:left="1134" w:hanging="708"/>
        <w:jc w:val="left"/>
      </w:pPr>
      <w:bookmarkStart w:id="0" w:name="_heading=h.gjdgxs" w:colFirst="0" w:colLast="0"/>
      <w:bookmarkEnd w:id="0"/>
      <w:r>
        <w:t xml:space="preserve">In this Schedule, the following words shall have the following meanings and they shall supplement Joint Schedule 1 </w:t>
      </w:r>
      <w:r>
        <w:rPr>
          <w:i/>
        </w:rPr>
        <w:t>(Definitions)</w:t>
      </w:r>
      <w:r>
        <w:t>:</w:t>
      </w:r>
    </w:p>
    <w:tbl>
      <w:tblPr>
        <w:tblStyle w:val="a0"/>
        <w:tblW w:w="7780" w:type="dxa"/>
        <w:tblInd w:w="1134" w:type="dxa"/>
        <w:tblLayout w:type="fixed"/>
        <w:tblLook w:val="0400" w:firstRow="0" w:lastRow="0" w:firstColumn="0" w:lastColumn="0" w:noHBand="0" w:noVBand="1"/>
      </w:tblPr>
      <w:tblGrid>
        <w:gridCol w:w="2835"/>
        <w:gridCol w:w="4945"/>
      </w:tblGrid>
      <w:tr w:rsidR="00232CEE" w14:paraId="20F9D123" w14:textId="77777777">
        <w:tc>
          <w:tcPr>
            <w:tcW w:w="2835" w:type="dxa"/>
            <w:shd w:val="clear" w:color="auto" w:fill="auto"/>
          </w:tcPr>
          <w:p w14:paraId="2F930C29" w14:textId="77777777" w:rsidR="00232CEE" w:rsidRDefault="00CF0F77">
            <w:pPr>
              <w:pBdr>
                <w:top w:val="nil"/>
                <w:left w:val="nil"/>
                <w:bottom w:val="nil"/>
                <w:right w:val="nil"/>
                <w:between w:val="nil"/>
              </w:pBdr>
              <w:tabs>
                <w:tab w:val="left" w:pos="1134"/>
              </w:tabs>
              <w:spacing w:before="120" w:after="120" w:line="240" w:lineRule="auto"/>
              <w:jc w:val="left"/>
              <w:rPr>
                <w:b/>
              </w:rPr>
            </w:pPr>
            <w:bookmarkStart w:id="1" w:name="_heading=h.30j0zll" w:colFirst="0" w:colLast="0"/>
            <w:bookmarkEnd w:id="1"/>
            <w:r>
              <w:rPr>
                <w:b/>
              </w:rPr>
              <w:t>"Buyer Software"</w:t>
            </w:r>
          </w:p>
        </w:tc>
        <w:tc>
          <w:tcPr>
            <w:tcW w:w="4945" w:type="dxa"/>
            <w:shd w:val="clear" w:color="auto" w:fill="auto"/>
          </w:tcPr>
          <w:p w14:paraId="37465A0F" w14:textId="77777777" w:rsidR="00232CEE" w:rsidRDefault="00CF0F77">
            <w:pPr>
              <w:pBdr>
                <w:top w:val="nil"/>
                <w:left w:val="nil"/>
                <w:bottom w:val="nil"/>
                <w:right w:val="nil"/>
                <w:between w:val="nil"/>
              </w:pBdr>
              <w:tabs>
                <w:tab w:val="left" w:pos="1134"/>
              </w:tabs>
              <w:spacing w:before="120" w:after="120" w:line="240" w:lineRule="auto"/>
              <w:jc w:val="left"/>
            </w:pPr>
            <w:r>
              <w:t>any software which is owned by or licensed to the Buyer and which is or will be used by the Supplier for the purposes of providing the Deliverables;</w:t>
            </w:r>
          </w:p>
        </w:tc>
      </w:tr>
      <w:tr w:rsidR="00232CEE" w14:paraId="291E73DD" w14:textId="77777777">
        <w:tc>
          <w:tcPr>
            <w:tcW w:w="2835" w:type="dxa"/>
            <w:shd w:val="clear" w:color="auto" w:fill="auto"/>
          </w:tcPr>
          <w:p w14:paraId="2AD8DD78"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"Emergency Maintenance"</w:t>
            </w:r>
          </w:p>
        </w:tc>
        <w:tc>
          <w:tcPr>
            <w:tcW w:w="4945" w:type="dxa"/>
            <w:shd w:val="clear" w:color="auto" w:fill="auto"/>
          </w:tcPr>
          <w:p w14:paraId="5CB50F72" w14:textId="77777777" w:rsidR="00232CEE" w:rsidRDefault="00CF0F77">
            <w:pPr>
              <w:pBdr>
                <w:top w:val="nil"/>
                <w:left w:val="nil"/>
                <w:bottom w:val="nil"/>
                <w:right w:val="nil"/>
                <w:between w:val="nil"/>
              </w:pBdr>
              <w:tabs>
                <w:tab w:val="left" w:pos="1134"/>
              </w:tabs>
              <w:spacing w:before="120" w:after="120" w:line="240" w:lineRule="auto"/>
              <w:jc w:val="left"/>
            </w:pPr>
            <w:r>
              <w:t>ad hoc and unplanned maintenance provided by the Supplier where either Party reasonably suspects that the ICT Environment or the Services, or any part of the ICT Environment or the Services, has or may have developed a fault;</w:t>
            </w:r>
          </w:p>
        </w:tc>
      </w:tr>
      <w:tr w:rsidR="00232CEE" w14:paraId="6F288E84" w14:textId="77777777">
        <w:tc>
          <w:tcPr>
            <w:tcW w:w="2835" w:type="dxa"/>
            <w:shd w:val="clear" w:color="auto" w:fill="auto"/>
          </w:tcPr>
          <w:p w14:paraId="104FAAE6"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"ICT Environment"</w:t>
            </w:r>
          </w:p>
        </w:tc>
        <w:tc>
          <w:tcPr>
            <w:tcW w:w="4945" w:type="dxa"/>
            <w:shd w:val="clear" w:color="auto" w:fill="auto"/>
          </w:tcPr>
          <w:p w14:paraId="5B5BE337" w14:textId="77777777" w:rsidR="00232CEE" w:rsidRDefault="00CF0F77">
            <w:pPr>
              <w:pBdr>
                <w:top w:val="nil"/>
                <w:left w:val="nil"/>
                <w:bottom w:val="nil"/>
                <w:right w:val="nil"/>
                <w:between w:val="nil"/>
              </w:pBdr>
              <w:tabs>
                <w:tab w:val="left" w:pos="1134"/>
              </w:tabs>
              <w:spacing w:before="120" w:after="120" w:line="240" w:lineRule="auto"/>
              <w:jc w:val="left"/>
            </w:pPr>
            <w:r>
              <w:t>the Buyer System and the Supplier System;</w:t>
            </w:r>
          </w:p>
        </w:tc>
      </w:tr>
      <w:tr w:rsidR="00232CEE" w14:paraId="337694A3" w14:textId="77777777">
        <w:tc>
          <w:tcPr>
            <w:tcW w:w="2835" w:type="dxa"/>
            <w:shd w:val="clear" w:color="auto" w:fill="auto"/>
          </w:tcPr>
          <w:p w14:paraId="01F0607B"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"Licensed Software"</w:t>
            </w:r>
          </w:p>
        </w:tc>
        <w:tc>
          <w:tcPr>
            <w:tcW w:w="4945" w:type="dxa"/>
            <w:shd w:val="clear" w:color="auto" w:fill="auto"/>
          </w:tcPr>
          <w:p w14:paraId="7DB21257" w14:textId="77777777" w:rsidR="00232CEE" w:rsidRDefault="00CF0F77">
            <w:pPr>
              <w:pBdr>
                <w:top w:val="nil"/>
                <w:left w:val="nil"/>
                <w:bottom w:val="nil"/>
                <w:right w:val="nil"/>
                <w:between w:val="nil"/>
              </w:pBdr>
              <w:tabs>
                <w:tab w:val="left" w:pos="1134"/>
              </w:tabs>
              <w:spacing w:before="120" w:after="120" w:line="240" w:lineRule="auto"/>
              <w:jc w:val="left"/>
            </w:pPr>
            <w:r>
              <w:t>all and any Software licensed by or through the Supplier, its Sub-Contractors or any third party to the Buyer for the purposes of or pursuant to this Call Off Contract, including any COTS Software;</w:t>
            </w:r>
          </w:p>
        </w:tc>
      </w:tr>
      <w:tr w:rsidR="00232CEE" w14:paraId="5393AF32" w14:textId="77777777">
        <w:tc>
          <w:tcPr>
            <w:tcW w:w="2835" w:type="dxa"/>
            <w:shd w:val="clear" w:color="auto" w:fill="auto"/>
          </w:tcPr>
          <w:p w14:paraId="6730F386"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"Maintenance Schedule"</w:t>
            </w:r>
          </w:p>
        </w:tc>
        <w:tc>
          <w:tcPr>
            <w:tcW w:w="4945" w:type="dxa"/>
            <w:shd w:val="clear" w:color="auto" w:fill="auto"/>
          </w:tcPr>
          <w:p w14:paraId="5BFB525D" w14:textId="77777777" w:rsidR="00232CEE" w:rsidRDefault="00CF0F77">
            <w:pPr>
              <w:pBdr>
                <w:top w:val="nil"/>
                <w:left w:val="nil"/>
                <w:bottom w:val="nil"/>
                <w:right w:val="nil"/>
                <w:between w:val="nil"/>
              </w:pBdr>
              <w:tabs>
                <w:tab w:val="left" w:pos="1134"/>
              </w:tabs>
              <w:spacing w:before="120" w:after="120" w:line="240" w:lineRule="auto"/>
              <w:jc w:val="left"/>
            </w:pPr>
            <w:r>
              <w:t>has the meaning given to it in Paragraph 8 of this Schedule;</w:t>
            </w:r>
          </w:p>
        </w:tc>
      </w:tr>
      <w:tr w:rsidR="00232CEE" w14:paraId="2DF76858" w14:textId="77777777">
        <w:tc>
          <w:tcPr>
            <w:tcW w:w="2835" w:type="dxa"/>
            <w:shd w:val="clear" w:color="auto" w:fill="auto"/>
          </w:tcPr>
          <w:p w14:paraId="63B50334"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"New Release"</w:t>
            </w:r>
          </w:p>
        </w:tc>
        <w:tc>
          <w:tcPr>
            <w:tcW w:w="4945" w:type="dxa"/>
            <w:shd w:val="clear" w:color="auto" w:fill="auto"/>
          </w:tcPr>
          <w:p w14:paraId="3248CD44" w14:textId="77777777" w:rsidR="00232CEE" w:rsidRDefault="00CF0F77">
            <w:pPr>
              <w:pBdr>
                <w:top w:val="nil"/>
                <w:left w:val="nil"/>
                <w:bottom w:val="nil"/>
                <w:right w:val="nil"/>
                <w:between w:val="nil"/>
              </w:pBdr>
              <w:tabs>
                <w:tab w:val="left" w:pos="1134"/>
              </w:tabs>
              <w:spacing w:before="120" w:after="120" w:line="240" w:lineRule="auto"/>
              <w:jc w:val="left"/>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232CEE" w14:paraId="58AA58C0" w14:textId="77777777">
        <w:tc>
          <w:tcPr>
            <w:tcW w:w="2835" w:type="dxa"/>
            <w:shd w:val="clear" w:color="auto" w:fill="auto"/>
          </w:tcPr>
          <w:p w14:paraId="076ACC1E"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"Operating Environment"</w:t>
            </w:r>
          </w:p>
        </w:tc>
        <w:tc>
          <w:tcPr>
            <w:tcW w:w="4945" w:type="dxa"/>
            <w:shd w:val="clear" w:color="auto" w:fill="auto"/>
          </w:tcPr>
          <w:p w14:paraId="27254DB4" w14:textId="77777777" w:rsidR="00232CEE" w:rsidRDefault="00CF0F77">
            <w:pPr>
              <w:pBdr>
                <w:top w:val="nil"/>
                <w:left w:val="nil"/>
                <w:bottom w:val="nil"/>
                <w:right w:val="nil"/>
                <w:between w:val="nil"/>
              </w:pBdr>
              <w:tabs>
                <w:tab w:val="left" w:pos="1134"/>
              </w:tabs>
              <w:spacing w:before="120" w:after="120" w:line="240" w:lineRule="auto"/>
              <w:jc w:val="left"/>
            </w:pPr>
            <w:r>
              <w:t xml:space="preserve">the Buyer System and any premises (including the Buyer Premises, the Supplier’s premises or </w:t>
            </w:r>
            <w:proofErr w:type="gramStart"/>
            <w:r>
              <w:t>third party</w:t>
            </w:r>
            <w:proofErr w:type="gramEnd"/>
            <w:r>
              <w:t xml:space="preserve"> premises) from, to or at which:</w:t>
            </w:r>
          </w:p>
          <w:p w14:paraId="5D22ABB6" w14:textId="77777777" w:rsidR="00232CEE" w:rsidRDefault="00CF0F77">
            <w:pPr>
              <w:pStyle w:val="Heading2"/>
              <w:numPr>
                <w:ilvl w:val="1"/>
                <w:numId w:val="2"/>
              </w:numPr>
              <w:spacing w:before="120" w:after="120" w:line="240" w:lineRule="auto"/>
              <w:ind w:hanging="696"/>
              <w:rPr>
                <w:rFonts w:ascii="Arial" w:eastAsia="Arial" w:hAnsi="Arial" w:cs="Arial"/>
              </w:rPr>
            </w:pPr>
            <w:r>
              <w:rPr>
                <w:rFonts w:ascii="Arial" w:eastAsia="Arial" w:hAnsi="Arial" w:cs="Arial"/>
              </w:rPr>
              <w:t xml:space="preserve">the Deliverables are (or are to be) provided; or </w:t>
            </w:r>
          </w:p>
          <w:p w14:paraId="16223D3C" w14:textId="77777777" w:rsidR="00232CEE" w:rsidRDefault="00CF0F77">
            <w:pPr>
              <w:numPr>
                <w:ilvl w:val="1"/>
                <w:numId w:val="2"/>
              </w:numPr>
              <w:pBdr>
                <w:top w:val="nil"/>
                <w:left w:val="nil"/>
                <w:bottom w:val="nil"/>
                <w:right w:val="nil"/>
                <w:between w:val="nil"/>
              </w:pBdr>
              <w:tabs>
                <w:tab w:val="left" w:pos="733"/>
              </w:tabs>
              <w:spacing w:before="120" w:after="120" w:line="240" w:lineRule="auto"/>
              <w:ind w:hanging="696"/>
              <w:jc w:val="left"/>
            </w:pPr>
            <w:r>
              <w:lastRenderedPageBreak/>
              <w:t>the Supplier manages, organises or otherwise directs the provision or the use of the Deliverables; or</w:t>
            </w:r>
          </w:p>
          <w:p w14:paraId="3A93F1A7" w14:textId="77777777" w:rsidR="00232CEE" w:rsidRDefault="00CF0F77">
            <w:pPr>
              <w:numPr>
                <w:ilvl w:val="1"/>
                <w:numId w:val="2"/>
              </w:numPr>
              <w:pBdr>
                <w:top w:val="nil"/>
                <w:left w:val="nil"/>
                <w:bottom w:val="nil"/>
                <w:right w:val="nil"/>
                <w:between w:val="nil"/>
              </w:pBdr>
              <w:tabs>
                <w:tab w:val="left" w:pos="733"/>
              </w:tabs>
              <w:spacing w:before="120" w:after="120" w:line="240" w:lineRule="auto"/>
              <w:ind w:hanging="696"/>
              <w:jc w:val="left"/>
            </w:pPr>
            <w:r>
              <w:t>where any part of the Supplier System is situated;</w:t>
            </w:r>
          </w:p>
        </w:tc>
      </w:tr>
      <w:tr w:rsidR="00232CEE" w14:paraId="7FA226F8" w14:textId="77777777">
        <w:tc>
          <w:tcPr>
            <w:tcW w:w="2835" w:type="dxa"/>
            <w:shd w:val="clear" w:color="auto" w:fill="auto"/>
          </w:tcPr>
          <w:p w14:paraId="1A1BA9B9"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lastRenderedPageBreak/>
              <w:t>"Permitted Maintenance"</w:t>
            </w:r>
          </w:p>
        </w:tc>
        <w:tc>
          <w:tcPr>
            <w:tcW w:w="4945" w:type="dxa"/>
            <w:shd w:val="clear" w:color="auto" w:fill="auto"/>
          </w:tcPr>
          <w:p w14:paraId="324AEE3B" w14:textId="77777777" w:rsidR="00232CEE" w:rsidRDefault="00CF0F77">
            <w:pPr>
              <w:pBdr>
                <w:top w:val="nil"/>
                <w:left w:val="nil"/>
                <w:bottom w:val="nil"/>
                <w:right w:val="nil"/>
                <w:between w:val="nil"/>
              </w:pBdr>
              <w:tabs>
                <w:tab w:val="left" w:pos="1134"/>
              </w:tabs>
              <w:spacing w:before="120" w:after="120" w:line="240" w:lineRule="auto"/>
              <w:jc w:val="left"/>
            </w:pPr>
            <w:r>
              <w:t>has the meaning given to it in Paragraph 8.2 of this Schedule;</w:t>
            </w:r>
          </w:p>
        </w:tc>
      </w:tr>
      <w:tr w:rsidR="00232CEE" w14:paraId="1C8D2EE6" w14:textId="77777777">
        <w:tc>
          <w:tcPr>
            <w:tcW w:w="2835" w:type="dxa"/>
            <w:shd w:val="clear" w:color="auto" w:fill="auto"/>
          </w:tcPr>
          <w:p w14:paraId="0ABDFA9F"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"Quality Plans"</w:t>
            </w:r>
          </w:p>
        </w:tc>
        <w:tc>
          <w:tcPr>
            <w:tcW w:w="4945" w:type="dxa"/>
            <w:shd w:val="clear" w:color="auto" w:fill="auto"/>
          </w:tcPr>
          <w:p w14:paraId="3544696C" w14:textId="77777777" w:rsidR="00232CEE" w:rsidRDefault="00CF0F77">
            <w:pPr>
              <w:pBdr>
                <w:top w:val="nil"/>
                <w:left w:val="nil"/>
                <w:bottom w:val="nil"/>
                <w:right w:val="nil"/>
                <w:between w:val="nil"/>
              </w:pBdr>
              <w:tabs>
                <w:tab w:val="left" w:pos="1134"/>
              </w:tabs>
              <w:spacing w:before="120" w:after="120" w:line="240" w:lineRule="auto"/>
              <w:jc w:val="left"/>
            </w:pPr>
            <w:r>
              <w:t>has the meaning given to it in Paragraph 6.1 of this Schedule; and</w:t>
            </w:r>
          </w:p>
        </w:tc>
      </w:tr>
      <w:tr w:rsidR="00232CEE" w14:paraId="32DE6C34" w14:textId="77777777">
        <w:tc>
          <w:tcPr>
            <w:tcW w:w="2835" w:type="dxa"/>
            <w:shd w:val="clear" w:color="auto" w:fill="auto"/>
          </w:tcPr>
          <w:p w14:paraId="6F4CFF26" w14:textId="77777777" w:rsidR="00232CEE" w:rsidRDefault="00CF0F77">
            <w:pPr>
              <w:pBdr>
                <w:top w:val="nil"/>
                <w:left w:val="nil"/>
                <w:bottom w:val="nil"/>
                <w:right w:val="nil"/>
                <w:between w:val="nil"/>
              </w:pBdr>
              <w:tabs>
                <w:tab w:val="left" w:pos="1134"/>
              </w:tabs>
              <w:spacing w:before="120" w:after="120" w:line="240" w:lineRule="auto"/>
              <w:jc w:val="left"/>
              <w:rPr>
                <w:b/>
              </w:rPr>
            </w:pPr>
            <w:r>
              <w:rPr>
                <w:b/>
              </w:rPr>
              <w:t>"Sites"</w:t>
            </w:r>
          </w:p>
        </w:tc>
        <w:tc>
          <w:tcPr>
            <w:tcW w:w="4945" w:type="dxa"/>
            <w:shd w:val="clear" w:color="auto" w:fill="auto"/>
          </w:tcPr>
          <w:p w14:paraId="77E54D96" w14:textId="77777777" w:rsidR="00232CEE" w:rsidRDefault="00CF0F77">
            <w:pPr>
              <w:pBdr>
                <w:top w:val="nil"/>
                <w:left w:val="nil"/>
                <w:bottom w:val="nil"/>
                <w:right w:val="nil"/>
                <w:between w:val="nil"/>
              </w:pBdr>
              <w:tabs>
                <w:tab w:val="left" w:pos="1134"/>
              </w:tabs>
              <w:spacing w:before="120" w:after="120" w:line="240" w:lineRule="auto"/>
              <w:jc w:val="left"/>
            </w:pPr>
            <w:r>
              <w:t xml:space="preserve">has the meaning given to it in Joint Schedule 1 </w:t>
            </w:r>
            <w:r>
              <w:rPr>
                <w:i/>
              </w:rPr>
              <w:t>(Definitions)</w:t>
            </w:r>
            <w:r>
              <w:t>, and for the purposes of this Call Off Schedule shall also include any premises from, to or at which physical interface with the Buyer System takes place.</w:t>
            </w:r>
          </w:p>
        </w:tc>
      </w:tr>
    </w:tbl>
    <w:p w14:paraId="19E9D259" w14:textId="77777777" w:rsidR="00232CEE" w:rsidRDefault="00CF0F77">
      <w:pPr>
        <w:keepNext/>
        <w:keepLines/>
        <w:numPr>
          <w:ilvl w:val="0"/>
          <w:numId w:val="1"/>
        </w:numPr>
        <w:pBdr>
          <w:top w:val="nil"/>
          <w:left w:val="nil"/>
          <w:bottom w:val="nil"/>
          <w:right w:val="nil"/>
          <w:between w:val="nil"/>
        </w:pBdr>
        <w:tabs>
          <w:tab w:val="left" w:pos="426"/>
        </w:tabs>
        <w:spacing w:before="120" w:after="120" w:line="240" w:lineRule="auto"/>
        <w:ind w:left="426" w:hanging="426"/>
        <w:jc w:val="left"/>
        <w:rPr>
          <w:b/>
          <w:smallCaps/>
        </w:rPr>
      </w:pPr>
      <w:r>
        <w:rPr>
          <w:b/>
          <w:smallCaps/>
        </w:rPr>
        <w:t>W</w:t>
      </w:r>
      <w:r>
        <w:rPr>
          <w:b/>
        </w:rPr>
        <w:t>hen this Schedule should be used</w:t>
      </w:r>
    </w:p>
    <w:p w14:paraId="3A375070" w14:textId="77777777" w:rsidR="00232CEE" w:rsidRDefault="00CF0F77">
      <w:pPr>
        <w:keepNext/>
        <w:keepLines/>
        <w:numPr>
          <w:ilvl w:val="1"/>
          <w:numId w:val="1"/>
        </w:numPr>
        <w:pBdr>
          <w:top w:val="nil"/>
          <w:left w:val="nil"/>
          <w:bottom w:val="nil"/>
          <w:right w:val="nil"/>
          <w:between w:val="nil"/>
        </w:pBdr>
        <w:tabs>
          <w:tab w:val="left" w:pos="1134"/>
        </w:tabs>
        <w:spacing w:before="120" w:after="120" w:line="240" w:lineRule="auto"/>
        <w:ind w:left="1134" w:hanging="708"/>
        <w:jc w:val="left"/>
      </w:pPr>
      <w:r>
        <w:t>This Schedule is designed to provide additional provisions necessary to facilitate the provision of ICT Services which are part of the Deliverables.</w:t>
      </w:r>
    </w:p>
    <w:p w14:paraId="7715A3B0" w14:textId="77777777" w:rsidR="00232CEE" w:rsidRDefault="00CF0F77">
      <w:pPr>
        <w:numPr>
          <w:ilvl w:val="0"/>
          <w:numId w:val="1"/>
        </w:numPr>
        <w:pBdr>
          <w:top w:val="nil"/>
          <w:left w:val="nil"/>
          <w:bottom w:val="nil"/>
          <w:right w:val="nil"/>
          <w:between w:val="nil"/>
        </w:pBdr>
        <w:tabs>
          <w:tab w:val="left" w:pos="426"/>
          <w:tab w:val="left" w:pos="3686"/>
          <w:tab w:val="left" w:pos="142"/>
        </w:tabs>
        <w:spacing w:before="120" w:after="120" w:line="240" w:lineRule="auto"/>
        <w:ind w:left="426" w:hanging="426"/>
        <w:jc w:val="left"/>
        <w:rPr>
          <w:b/>
          <w:smallCaps/>
        </w:rPr>
      </w:pPr>
      <w:r>
        <w:rPr>
          <w:b/>
        </w:rPr>
        <w:t xml:space="preserve">Buyer due diligence requirement </w:t>
      </w:r>
    </w:p>
    <w:p w14:paraId="14359053" w14:textId="77777777" w:rsidR="00232CEE" w:rsidRDefault="00CF0F77">
      <w:pPr>
        <w:numPr>
          <w:ilvl w:val="1"/>
          <w:numId w:val="1"/>
        </w:numPr>
        <w:pBdr>
          <w:top w:val="nil"/>
          <w:left w:val="nil"/>
          <w:bottom w:val="nil"/>
          <w:right w:val="nil"/>
          <w:between w:val="nil"/>
        </w:pBdr>
        <w:tabs>
          <w:tab w:val="left" w:pos="3686"/>
          <w:tab w:val="left" w:pos="142"/>
        </w:tabs>
        <w:spacing w:before="120" w:after="120" w:line="240" w:lineRule="auto"/>
        <w:ind w:left="1134" w:hanging="708"/>
        <w:jc w:val="left"/>
        <w:rPr>
          <w:b/>
          <w:smallCaps/>
        </w:rPr>
      </w:pPr>
      <w:r>
        <w:t>The Supplier shall satisfy itself of all relevant details, including but not limited to, details relating to the following;</w:t>
      </w:r>
    </w:p>
    <w:p w14:paraId="65EE7D84"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bookmarkStart w:id="2" w:name="_heading=h.1fob9te" w:colFirst="0" w:colLast="0"/>
      <w:bookmarkEnd w:id="2"/>
      <w:r>
        <w:t xml:space="preserve">suitability of the existing and (to the extent that it is defined or reasonably foreseeable at the Effective Date) future Operating Environment; </w:t>
      </w:r>
    </w:p>
    <w:p w14:paraId="09522818"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 xml:space="preserve">operating processes and procedures and the working methods of the Buyer; </w:t>
      </w:r>
    </w:p>
    <w:p w14:paraId="2FD8CCDA"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ownership, functionality, capacity, condition and suitability for use in the provision of the Deliverables of the Buyer Assets; and</w:t>
      </w:r>
    </w:p>
    <w:p w14:paraId="2B37A083"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existing contracts (including any licences, support, maintenance and other contracts relating to the Operating Environment) referred to in the Due Diligence Information which may be novated to, assigned to or managed by the Supplier under the Contract and/or which the Supplier will require the benefit of for the provision of the Deliverables.</w:t>
      </w:r>
    </w:p>
    <w:p w14:paraId="101588DA" w14:textId="77777777" w:rsidR="00232CEE" w:rsidRDefault="00CF0F77">
      <w:pPr>
        <w:numPr>
          <w:ilvl w:val="1"/>
          <w:numId w:val="1"/>
        </w:numPr>
        <w:pBdr>
          <w:top w:val="nil"/>
          <w:left w:val="nil"/>
          <w:bottom w:val="nil"/>
          <w:right w:val="nil"/>
          <w:between w:val="nil"/>
        </w:pBdr>
        <w:tabs>
          <w:tab w:val="left" w:pos="2552"/>
        </w:tabs>
        <w:spacing w:before="120" w:after="120" w:line="240" w:lineRule="auto"/>
        <w:ind w:left="1134" w:hanging="708"/>
        <w:jc w:val="left"/>
      </w:pPr>
      <w:r>
        <w:t>The Supplier confirms that it has advised the Buyer in writing of:</w:t>
      </w:r>
    </w:p>
    <w:p w14:paraId="252FBCB5" w14:textId="77777777" w:rsidR="00232CEE" w:rsidRDefault="00CF0F77">
      <w:pPr>
        <w:numPr>
          <w:ilvl w:val="2"/>
          <w:numId w:val="1"/>
        </w:numPr>
        <w:pBdr>
          <w:top w:val="nil"/>
          <w:left w:val="nil"/>
          <w:bottom w:val="nil"/>
          <w:right w:val="nil"/>
          <w:between w:val="nil"/>
        </w:pBdr>
        <w:tabs>
          <w:tab w:val="left" w:pos="2552"/>
        </w:tabs>
        <w:spacing w:before="120" w:after="120" w:line="240" w:lineRule="auto"/>
        <w:ind w:left="1985" w:hanging="851"/>
        <w:jc w:val="left"/>
      </w:pPr>
      <w:r>
        <w:t>each aspect, if any, of the Operating Environment that is not suitable for the provision of the ICT Services;</w:t>
      </w:r>
    </w:p>
    <w:p w14:paraId="3367375C" w14:textId="77777777" w:rsidR="00232CEE" w:rsidRDefault="00CF0F77">
      <w:pPr>
        <w:numPr>
          <w:ilvl w:val="2"/>
          <w:numId w:val="1"/>
        </w:numPr>
        <w:pBdr>
          <w:top w:val="nil"/>
          <w:left w:val="nil"/>
          <w:bottom w:val="nil"/>
          <w:right w:val="nil"/>
          <w:between w:val="nil"/>
        </w:pBdr>
        <w:tabs>
          <w:tab w:val="left" w:pos="2552"/>
        </w:tabs>
        <w:spacing w:before="120" w:after="120" w:line="240" w:lineRule="auto"/>
        <w:ind w:left="1985" w:hanging="851"/>
        <w:jc w:val="left"/>
      </w:pPr>
      <w:r>
        <w:t>the actions needed to remedy each such unsuitable aspect; and</w:t>
      </w:r>
    </w:p>
    <w:p w14:paraId="19C38277" w14:textId="77777777" w:rsidR="00232CEE" w:rsidRDefault="00CF0F77">
      <w:pPr>
        <w:numPr>
          <w:ilvl w:val="2"/>
          <w:numId w:val="1"/>
        </w:numPr>
        <w:pBdr>
          <w:top w:val="nil"/>
          <w:left w:val="nil"/>
          <w:bottom w:val="nil"/>
          <w:right w:val="nil"/>
          <w:between w:val="nil"/>
        </w:pBdr>
        <w:tabs>
          <w:tab w:val="left" w:pos="2552"/>
        </w:tabs>
        <w:spacing w:before="120" w:after="120" w:line="240" w:lineRule="auto"/>
        <w:ind w:left="1985" w:hanging="851"/>
        <w:jc w:val="left"/>
      </w:pPr>
      <w:r>
        <w:t>a timetable for and the costs of those actions.</w:t>
      </w:r>
    </w:p>
    <w:p w14:paraId="7C70D1FD" w14:textId="77777777" w:rsidR="00232CEE" w:rsidRDefault="00CF0F77">
      <w:pPr>
        <w:numPr>
          <w:ilvl w:val="0"/>
          <w:numId w:val="1"/>
        </w:numPr>
        <w:pBdr>
          <w:top w:val="nil"/>
          <w:left w:val="nil"/>
          <w:bottom w:val="nil"/>
          <w:right w:val="nil"/>
          <w:between w:val="nil"/>
        </w:pBdr>
        <w:spacing w:before="120" w:after="120" w:line="240" w:lineRule="auto"/>
        <w:ind w:left="426" w:hanging="426"/>
        <w:jc w:val="left"/>
        <w:rPr>
          <w:b/>
        </w:rPr>
      </w:pPr>
      <w:r>
        <w:rPr>
          <w:b/>
        </w:rPr>
        <w:lastRenderedPageBreak/>
        <w:t>Licensed software warranty</w:t>
      </w:r>
    </w:p>
    <w:p w14:paraId="0F34D10C"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pPr>
      <w:bookmarkStart w:id="3" w:name="_heading=h.3znysh7" w:colFirst="0" w:colLast="0"/>
      <w:bookmarkEnd w:id="3"/>
      <w:r>
        <w:t>The Supplier represents and warrants that:</w:t>
      </w:r>
    </w:p>
    <w:p w14:paraId="78446FD4" w14:textId="77777777" w:rsidR="00232CEE" w:rsidRDefault="00CF0F77">
      <w:pPr>
        <w:numPr>
          <w:ilvl w:val="2"/>
          <w:numId w:val="1"/>
        </w:numPr>
        <w:pBdr>
          <w:top w:val="nil"/>
          <w:left w:val="nil"/>
          <w:bottom w:val="nil"/>
          <w:right w:val="nil"/>
          <w:between w:val="nil"/>
        </w:pBdr>
        <w:spacing w:before="120" w:after="120" w:line="240" w:lineRule="auto"/>
        <w:ind w:left="1985" w:hanging="851"/>
        <w:jc w:val="left"/>
      </w:pPr>
      <w:r>
        <w:t>it has and shall continue to have all necessary rights in and to the Licensed Software made available by the Supplier (and/or any Sub-Contractor) to the Buyer which are necessary for the performance of the Supplier’s obligations under the Contract including the receipt of the Deliverables by the Buyer;</w:t>
      </w:r>
    </w:p>
    <w:p w14:paraId="74831A3D" w14:textId="77777777" w:rsidR="00232CEE" w:rsidRDefault="00CF0F77">
      <w:pPr>
        <w:numPr>
          <w:ilvl w:val="2"/>
          <w:numId w:val="1"/>
        </w:numPr>
        <w:pBdr>
          <w:top w:val="nil"/>
          <w:left w:val="nil"/>
          <w:bottom w:val="nil"/>
          <w:right w:val="nil"/>
          <w:between w:val="nil"/>
        </w:pBdr>
        <w:tabs>
          <w:tab w:val="left" w:pos="1985"/>
          <w:tab w:val="left" w:pos="2127"/>
        </w:tabs>
        <w:spacing w:before="120" w:after="120" w:line="240" w:lineRule="auto"/>
        <w:ind w:left="1985" w:hanging="851"/>
        <w:jc w:val="left"/>
      </w:pPr>
      <w:r>
        <w:t>all components of the Specially Written Software shall:</w:t>
      </w:r>
    </w:p>
    <w:p w14:paraId="64928AAC" w14:textId="77777777" w:rsidR="00232CEE" w:rsidRDefault="00CF0F77">
      <w:pPr>
        <w:numPr>
          <w:ilvl w:val="3"/>
          <w:numId w:val="1"/>
        </w:numPr>
        <w:pBdr>
          <w:top w:val="nil"/>
          <w:left w:val="nil"/>
          <w:bottom w:val="nil"/>
          <w:right w:val="nil"/>
          <w:between w:val="nil"/>
        </w:pBdr>
        <w:spacing w:before="120" w:after="120" w:line="240" w:lineRule="auto"/>
        <w:ind w:left="2835" w:hanging="850"/>
        <w:jc w:val="left"/>
      </w:pPr>
      <w:r>
        <w:t>be free from material design and programming errors;</w:t>
      </w:r>
    </w:p>
    <w:p w14:paraId="64DED3B4" w14:textId="77777777" w:rsidR="00232CEE" w:rsidRDefault="00CF0F77">
      <w:pPr>
        <w:numPr>
          <w:ilvl w:val="3"/>
          <w:numId w:val="1"/>
        </w:numPr>
        <w:pBdr>
          <w:top w:val="nil"/>
          <w:left w:val="nil"/>
          <w:bottom w:val="nil"/>
          <w:right w:val="nil"/>
          <w:between w:val="nil"/>
        </w:pBdr>
        <w:spacing w:before="120" w:after="120" w:line="240" w:lineRule="auto"/>
        <w:ind w:left="2835" w:hanging="850"/>
        <w:jc w:val="left"/>
      </w:pPr>
      <w:r>
        <w:t xml:space="preserve">perform in all material respects in accordance with the relevant specifications contained in Call Off Schedule 14 </w:t>
      </w:r>
      <w:r>
        <w:rPr>
          <w:i/>
        </w:rPr>
        <w:t>(Performance Levels)</w:t>
      </w:r>
      <w:r>
        <w:t xml:space="preserve"> and Documentation; and</w:t>
      </w:r>
    </w:p>
    <w:p w14:paraId="536C9DD2" w14:textId="77777777" w:rsidR="00232CEE" w:rsidRDefault="00CF0F77">
      <w:pPr>
        <w:numPr>
          <w:ilvl w:val="3"/>
          <w:numId w:val="1"/>
        </w:numPr>
        <w:pBdr>
          <w:top w:val="nil"/>
          <w:left w:val="nil"/>
          <w:bottom w:val="nil"/>
          <w:right w:val="nil"/>
          <w:between w:val="nil"/>
        </w:pBdr>
        <w:tabs>
          <w:tab w:val="left" w:pos="851"/>
        </w:tabs>
        <w:spacing w:before="120" w:after="120" w:line="240" w:lineRule="auto"/>
        <w:ind w:left="2835" w:hanging="850"/>
        <w:jc w:val="left"/>
      </w:pPr>
      <w:r>
        <w:t>not infringe any IPR.</w:t>
      </w:r>
    </w:p>
    <w:p w14:paraId="08EF5DAE" w14:textId="77777777" w:rsidR="00232CEE" w:rsidRDefault="00CF0F77">
      <w:pPr>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Provision of ICT Services</w:t>
      </w:r>
    </w:p>
    <w:p w14:paraId="61E98E43" w14:textId="77777777" w:rsidR="00232CEE" w:rsidRDefault="00CF0F77">
      <w:pPr>
        <w:numPr>
          <w:ilvl w:val="1"/>
          <w:numId w:val="1"/>
        </w:numPr>
        <w:pBdr>
          <w:top w:val="nil"/>
          <w:left w:val="nil"/>
          <w:bottom w:val="nil"/>
          <w:right w:val="nil"/>
          <w:between w:val="nil"/>
        </w:pBdr>
        <w:spacing w:before="120" w:after="120" w:line="240" w:lineRule="auto"/>
        <w:ind w:left="1134" w:hanging="708"/>
        <w:jc w:val="left"/>
      </w:pPr>
      <w:r>
        <w:t>The Supplier shall:</w:t>
      </w:r>
    </w:p>
    <w:p w14:paraId="58038711"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1A617224"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all Software including upgrades, updates and New Releases used by or on behalf of the Supplier are currently supported versions of that Software and perform in all material respects in accordance with the relevant specification;</w:t>
      </w:r>
    </w:p>
    <w:p w14:paraId="27649630"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bookmarkStart w:id="4" w:name="_heading=h.i6gr9gll6po1" w:colFirst="0" w:colLast="0"/>
      <w:bookmarkEnd w:id="4"/>
      <w:r>
        <w:t>ensure that the Supplier System will be free of all encumbrances;</w:t>
      </w:r>
    </w:p>
    <w:p w14:paraId="58E27160"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the Deliverables are fully compatible with any Buyer Software, Buyer System, or otherwise used by the Supplier in connection with the Contract; and</w:t>
      </w:r>
    </w:p>
    <w:p w14:paraId="022443B9"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 xml:space="preserve">minimise any disruption to the Services and the ICT </w:t>
      </w:r>
      <w:proofErr w:type="gramStart"/>
      <w:r>
        <w:t>Environment  and</w:t>
      </w:r>
      <w:proofErr w:type="gramEnd"/>
      <w:r>
        <w:t>/or the Buyer's operations when providing the Deliverables.</w:t>
      </w:r>
    </w:p>
    <w:p w14:paraId="4446CD80" w14:textId="77777777" w:rsidR="00232CEE" w:rsidRDefault="00CF0F77">
      <w:pPr>
        <w:keepNext/>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Standards and Quality Requirements</w:t>
      </w:r>
    </w:p>
    <w:p w14:paraId="6B46714E"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pPr>
      <w:bookmarkStart w:id="5" w:name="_heading=h.2et92p0" w:colFirst="0" w:colLast="0"/>
      <w:bookmarkEnd w:id="5"/>
      <w: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b/>
        </w:rPr>
        <w:t>Quality Plans</w:t>
      </w:r>
      <w:r>
        <w:t>").</w:t>
      </w:r>
    </w:p>
    <w:p w14:paraId="0875AAF6"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pPr>
      <w:r>
        <w:t xml:space="preserve">The Supplier shall seek Approval (not be unreasonably withheld or delayed) of the Quality Plans before implementing them. Approval shall not act as an endorsement of the Quality Plans and shall not relieve the </w:t>
      </w:r>
      <w:r>
        <w:lastRenderedPageBreak/>
        <w:t>Supplier of its responsibility for ensuring that the Deliverables are provided to the standard required by the Contract.</w:t>
      </w:r>
    </w:p>
    <w:p w14:paraId="252C48F4"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pPr>
      <w:r>
        <w:t>Following the approval of the Quality Plans, the Supplier shall provide all Deliverables in accordance with the Quality Plans. Any Variation to the Quality Plans shall be agreed in accordance with the Variation Procedure.</w:t>
      </w:r>
    </w:p>
    <w:p w14:paraId="2EF78B37"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pPr>
      <w:r>
        <w:t>The Supplier shall ensure that the Supplier Staff shall at all times during the Call-Off Contract Period:</w:t>
      </w:r>
    </w:p>
    <w:p w14:paraId="69A476E6"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be appropriately experienced, qualified and trained to supply the Deliverables in accordance with the Contract;</w:t>
      </w:r>
    </w:p>
    <w:p w14:paraId="65723F0D"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apply all due skill, care, diligence in faithfully performing those duties and exercising such powers as necessary in connection with the provision of the Deliverables; and</w:t>
      </w:r>
    </w:p>
    <w:p w14:paraId="6AE9CC55" w14:textId="77777777"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pPr>
      <w:r>
        <w:t xml:space="preserve">obey all lawful instructions and reasonable directions of the Buyer (including, if </w:t>
      </w:r>
      <w:proofErr w:type="gramStart"/>
      <w:r>
        <w:t>so</w:t>
      </w:r>
      <w:proofErr w:type="gramEnd"/>
      <w:r>
        <w:t xml:space="preserve"> required by the Buyer, the ICT Policy) and provide the Deliverables to the reasonable satisfaction of the Buyer.</w:t>
      </w:r>
    </w:p>
    <w:p w14:paraId="2650C753" w14:textId="77777777" w:rsidR="00232CEE" w:rsidRDefault="00CF0F77">
      <w:pPr>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ICT Audit</w:t>
      </w:r>
    </w:p>
    <w:p w14:paraId="03FB8B1B" w14:textId="77777777" w:rsidR="00232CEE" w:rsidRDefault="00CF0F77">
      <w:pPr>
        <w:numPr>
          <w:ilvl w:val="1"/>
          <w:numId w:val="1"/>
        </w:numPr>
        <w:pBdr>
          <w:top w:val="nil"/>
          <w:left w:val="nil"/>
          <w:bottom w:val="nil"/>
          <w:right w:val="nil"/>
          <w:between w:val="nil"/>
        </w:pBdr>
        <w:tabs>
          <w:tab w:val="left" w:pos="2552"/>
        </w:tabs>
        <w:spacing w:before="120" w:after="120" w:line="240" w:lineRule="auto"/>
        <w:ind w:left="1134" w:hanging="708"/>
        <w:jc w:val="left"/>
      </w:pPr>
      <w:r>
        <w:t>The Supplier shall allow any auditor access to the Supplier premises to:</w:t>
      </w:r>
    </w:p>
    <w:p w14:paraId="64143704" w14:textId="77777777" w:rsidR="00232CEE" w:rsidRDefault="00CF0F77">
      <w:pPr>
        <w:numPr>
          <w:ilvl w:val="2"/>
          <w:numId w:val="1"/>
        </w:numPr>
        <w:pBdr>
          <w:top w:val="nil"/>
          <w:left w:val="nil"/>
          <w:bottom w:val="nil"/>
          <w:right w:val="nil"/>
          <w:between w:val="nil"/>
        </w:pBdr>
        <w:tabs>
          <w:tab w:val="left" w:pos="2552"/>
        </w:tabs>
        <w:spacing w:before="120" w:after="120" w:line="240" w:lineRule="auto"/>
        <w:ind w:left="1985" w:hanging="851"/>
        <w:jc w:val="left"/>
      </w:pPr>
      <w:r>
        <w:t>inspect the ICT Environment and the wider service delivery environment (or any part of them);</w:t>
      </w:r>
    </w:p>
    <w:p w14:paraId="768F74BC" w14:textId="77777777" w:rsidR="00232CEE" w:rsidRDefault="00CF0F77">
      <w:pPr>
        <w:numPr>
          <w:ilvl w:val="2"/>
          <w:numId w:val="1"/>
        </w:numPr>
        <w:pBdr>
          <w:top w:val="nil"/>
          <w:left w:val="nil"/>
          <w:bottom w:val="nil"/>
          <w:right w:val="nil"/>
          <w:between w:val="nil"/>
        </w:pBdr>
        <w:tabs>
          <w:tab w:val="left" w:pos="2552"/>
        </w:tabs>
        <w:spacing w:before="120" w:after="120" w:line="240" w:lineRule="auto"/>
        <w:ind w:left="1985" w:hanging="851"/>
        <w:jc w:val="left"/>
      </w:pPr>
      <w:r>
        <w:t>review any records created during the design and development of the Supplier System and pre-operational environment such as information relating to Testing; and</w:t>
      </w:r>
    </w:p>
    <w:p w14:paraId="787E39CB" w14:textId="77777777" w:rsidR="00232CEE" w:rsidRDefault="00CF0F77">
      <w:pPr>
        <w:numPr>
          <w:ilvl w:val="2"/>
          <w:numId w:val="1"/>
        </w:numPr>
        <w:pBdr>
          <w:top w:val="nil"/>
          <w:left w:val="nil"/>
          <w:bottom w:val="nil"/>
          <w:right w:val="nil"/>
          <w:between w:val="nil"/>
        </w:pBdr>
        <w:spacing w:before="120" w:after="120" w:line="240" w:lineRule="auto"/>
        <w:ind w:left="1985" w:hanging="851"/>
        <w:jc w:val="left"/>
      </w:pPr>
      <w:r>
        <w:t>review the Supplier’s quality management systems including all relevant Quality Plans.</w:t>
      </w:r>
    </w:p>
    <w:p w14:paraId="1D7C175C" w14:textId="77777777" w:rsidR="00232CEE" w:rsidRDefault="00CF0F77">
      <w:pPr>
        <w:keepNext/>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Maintenance of the ICT Environment</w:t>
      </w:r>
    </w:p>
    <w:p w14:paraId="3C98EC94" w14:textId="77777777" w:rsidR="00232CEE" w:rsidRDefault="00CF0F77">
      <w:pPr>
        <w:numPr>
          <w:ilvl w:val="1"/>
          <w:numId w:val="1"/>
        </w:numPr>
        <w:pBdr>
          <w:top w:val="nil"/>
          <w:left w:val="nil"/>
          <w:bottom w:val="nil"/>
          <w:right w:val="nil"/>
          <w:between w:val="nil"/>
        </w:pBdr>
        <w:tabs>
          <w:tab w:val="left" w:pos="1985"/>
        </w:tabs>
        <w:spacing w:before="120" w:after="120" w:line="240" w:lineRule="auto"/>
        <w:ind w:left="1134" w:hanging="708"/>
        <w:jc w:val="left"/>
      </w:pPr>
      <w:r>
        <w:t>If specified by the Buyer in the Order Form, the Supplier shall create and maintain a rolling schedule of planned maintenance to the ICT Environment ("</w:t>
      </w:r>
      <w:r>
        <w:rPr>
          <w:b/>
        </w:rPr>
        <w:t>Maintenance Schedule</w:t>
      </w:r>
      <w:r>
        <w:t>") and make it available to the Buyer for Approval in accordance with the timetable and instructions specified by the Buyer.</w:t>
      </w:r>
    </w:p>
    <w:p w14:paraId="51B8C088" w14:textId="77777777" w:rsidR="00232CEE" w:rsidRDefault="00CF0F77">
      <w:pPr>
        <w:numPr>
          <w:ilvl w:val="1"/>
          <w:numId w:val="1"/>
        </w:numPr>
        <w:pBdr>
          <w:top w:val="nil"/>
          <w:left w:val="nil"/>
          <w:bottom w:val="nil"/>
          <w:right w:val="nil"/>
          <w:between w:val="nil"/>
        </w:pBdr>
        <w:tabs>
          <w:tab w:val="left" w:pos="1985"/>
        </w:tabs>
        <w:spacing w:before="120" w:after="120" w:line="240" w:lineRule="auto"/>
        <w:ind w:left="1134" w:hanging="708"/>
        <w:jc w:val="left"/>
      </w:pPr>
      <w:bookmarkStart w:id="6" w:name="_heading=h.tyjcwt" w:colFirst="0" w:colLast="0"/>
      <w:bookmarkEnd w:id="6"/>
      <w:r>
        <w:t>Once the Maintenance Schedule has been Approved, the Supplier shall only undertake such planned maintenance (which shall be known as "</w:t>
      </w:r>
      <w:r>
        <w:rPr>
          <w:b/>
        </w:rPr>
        <w:t>Permitted Maintenance</w:t>
      </w:r>
      <w:r>
        <w:t>") in accordance with the Maintenance Schedule.</w:t>
      </w:r>
    </w:p>
    <w:p w14:paraId="37BF0849" w14:textId="77777777" w:rsidR="00232CEE" w:rsidRDefault="00CF0F77">
      <w:pPr>
        <w:numPr>
          <w:ilvl w:val="1"/>
          <w:numId w:val="1"/>
        </w:numPr>
        <w:pBdr>
          <w:top w:val="nil"/>
          <w:left w:val="nil"/>
          <w:bottom w:val="nil"/>
          <w:right w:val="nil"/>
          <w:between w:val="nil"/>
        </w:pBdr>
        <w:tabs>
          <w:tab w:val="left" w:pos="1985"/>
        </w:tabs>
        <w:spacing w:before="120" w:after="120" w:line="240" w:lineRule="auto"/>
        <w:ind w:left="1134" w:hanging="708"/>
        <w:jc w:val="left"/>
      </w:pPr>
      <w:r>
        <w:t>The Supplier shall give as much notice as is reasonably practicable to the Buyer prior to carrying out any Emergency Maintenance.</w:t>
      </w:r>
    </w:p>
    <w:p w14:paraId="36AD9B0F" w14:textId="77777777" w:rsidR="00232CEE" w:rsidRDefault="00CF0F77">
      <w:pPr>
        <w:numPr>
          <w:ilvl w:val="1"/>
          <w:numId w:val="1"/>
        </w:numPr>
        <w:pBdr>
          <w:top w:val="nil"/>
          <w:left w:val="nil"/>
          <w:bottom w:val="nil"/>
          <w:right w:val="nil"/>
          <w:between w:val="nil"/>
        </w:pBdr>
        <w:spacing w:before="120" w:after="120" w:line="240" w:lineRule="auto"/>
        <w:ind w:left="1134" w:hanging="708"/>
        <w:jc w:val="left"/>
      </w:pPr>
      <w:bookmarkStart w:id="7" w:name="_heading=h.2bn6wsx" w:colFirst="0" w:colLast="0"/>
      <w:bookmarkEnd w:id="7"/>
      <w: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w:t>
      </w:r>
      <w:r>
        <w:lastRenderedPageBreak/>
        <w:t>this is not possible so as to minimise) disruption to the ICT Environment and the provision of the Deliverables.</w:t>
      </w:r>
    </w:p>
    <w:p w14:paraId="3D224D51" w14:textId="10E97BAC" w:rsidR="00232CEE" w:rsidRDefault="00CF0F77">
      <w:pPr>
        <w:keepNext/>
        <w:numPr>
          <w:ilvl w:val="0"/>
          <w:numId w:val="1"/>
        </w:numPr>
        <w:pBdr>
          <w:top w:val="nil"/>
          <w:left w:val="nil"/>
          <w:bottom w:val="nil"/>
          <w:right w:val="nil"/>
          <w:between w:val="nil"/>
        </w:pBdr>
        <w:tabs>
          <w:tab w:val="left" w:pos="1134"/>
        </w:tabs>
        <w:spacing w:before="120" w:after="120" w:line="240" w:lineRule="auto"/>
        <w:ind w:left="426" w:hanging="426"/>
        <w:jc w:val="left"/>
        <w:rPr>
          <w:b/>
          <w:highlight w:val="yellow"/>
        </w:rPr>
      </w:pPr>
      <w:r>
        <w:rPr>
          <w:b/>
          <w:highlight w:val="yellow"/>
        </w:rPr>
        <w:t>Supplier-furnished Terms</w:t>
      </w:r>
    </w:p>
    <w:p w14:paraId="67FCDF1C" w14:textId="23B925BD" w:rsidR="00232CEE" w:rsidRDefault="001E1C6D">
      <w:pPr>
        <w:spacing w:before="120" w:after="120" w:line="240" w:lineRule="auto"/>
        <w:ind w:left="426"/>
        <w:jc w:val="left"/>
        <w:rPr>
          <w:b/>
          <w:i/>
          <w:color w:val="000000"/>
          <w:highlight w:val="yellow"/>
        </w:rPr>
      </w:pPr>
      <w:sdt>
        <w:sdtPr>
          <w:tag w:val="goog_rdk_3"/>
          <w:id w:val="1230153434"/>
          <w:showingPlcHdr/>
        </w:sdtPr>
        <w:sdtEndPr/>
        <w:sdtContent>
          <w:r w:rsidR="00CF0F77">
            <w:t xml:space="preserve">     </w:t>
          </w:r>
        </w:sdtContent>
      </w:sdt>
    </w:p>
    <w:p w14:paraId="6B082856" w14:textId="77777777" w:rsidR="00232CEE" w:rsidRDefault="00CF0F77">
      <w:pPr>
        <w:pBdr>
          <w:top w:val="nil"/>
          <w:left w:val="nil"/>
          <w:bottom w:val="nil"/>
          <w:right w:val="nil"/>
          <w:between w:val="nil"/>
        </w:pBdr>
        <w:spacing w:before="120" w:after="120" w:line="240" w:lineRule="auto"/>
        <w:ind w:left="426"/>
        <w:jc w:val="left"/>
        <w:rPr>
          <w:b/>
          <w:i/>
          <w:color w:val="000000"/>
        </w:rPr>
      </w:pPr>
      <w:r>
        <w:rPr>
          <w:b/>
          <w:i/>
          <w:color w:val="000000"/>
          <w:highlight w:val="yellow"/>
        </w:rPr>
        <w:t>[Buyer Guidance: Buyer will need to consider whether or not to add some wording stating that the Contract's terms prevail in the event of any inconsistency, even if there is a statement to the contrary effect in the Supplier-furnished terms.]</w:t>
      </w:r>
    </w:p>
    <w:p w14:paraId="33004C0D"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rPr>
          <w:highlight w:val="yellow"/>
        </w:rPr>
      </w:pPr>
      <w:r>
        <w:rPr>
          <w:highlight w:val="yellow"/>
        </w:rPr>
        <w:t>In the case of any conflict or inconsistency between any Supplier-furnished terms set out in Paragraphs 9.3 to 9.4 and the terms of the Contract, the Contract shall prevail to the extent of any conflict or inconsistency.</w:t>
      </w:r>
    </w:p>
    <w:p w14:paraId="2D725C46"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rPr>
          <w:highlight w:val="yellow"/>
        </w:rPr>
      </w:pPr>
      <w:r>
        <w:rPr>
          <w:highlight w:val="yellow"/>
        </w:rPr>
        <w:t>Paragraph 9.1 applies even where there is a statement to the contrary effect in any Supplier-furnished terms.</w:t>
      </w:r>
    </w:p>
    <w:p w14:paraId="174AC332"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rPr>
          <w:b/>
          <w:highlight w:val="yellow"/>
        </w:rPr>
      </w:pPr>
      <w:r>
        <w:rPr>
          <w:b/>
          <w:highlight w:val="yellow"/>
        </w:rPr>
        <w:t xml:space="preserve">Software as a service </w:t>
      </w:r>
      <w:proofErr w:type="gramStart"/>
      <w:r>
        <w:rPr>
          <w:b/>
          <w:highlight w:val="yellow"/>
        </w:rPr>
        <w:t>terms</w:t>
      </w:r>
      <w:proofErr w:type="gramEnd"/>
    </w:p>
    <w:p w14:paraId="2A2F1FDF" w14:textId="77777777" w:rsidR="00232CEE" w:rsidRDefault="00CF0F77">
      <w:pPr>
        <w:numPr>
          <w:ilvl w:val="2"/>
          <w:numId w:val="1"/>
        </w:numPr>
        <w:pBdr>
          <w:top w:val="nil"/>
          <w:left w:val="nil"/>
          <w:bottom w:val="nil"/>
          <w:right w:val="nil"/>
          <w:between w:val="nil"/>
        </w:pBdr>
        <w:tabs>
          <w:tab w:val="left" w:pos="2552"/>
        </w:tabs>
        <w:spacing w:before="120" w:after="120" w:line="240" w:lineRule="auto"/>
        <w:ind w:left="1985" w:hanging="851"/>
        <w:jc w:val="left"/>
        <w:rPr>
          <w:highlight w:val="yellow"/>
        </w:rPr>
      </w:pPr>
      <w:r>
        <w:rPr>
          <w:highlight w:val="yellow"/>
        </w:rPr>
        <w:t>Additional terms for provision of a Software as a service solution are detailed in [insert reference to relevant Schedule].</w:t>
      </w:r>
    </w:p>
    <w:p w14:paraId="6CE66528" w14:textId="77777777" w:rsidR="00232CEE" w:rsidRDefault="00CF0F77">
      <w:pPr>
        <w:numPr>
          <w:ilvl w:val="1"/>
          <w:numId w:val="1"/>
        </w:numPr>
        <w:pBdr>
          <w:top w:val="nil"/>
          <w:left w:val="nil"/>
          <w:bottom w:val="nil"/>
          <w:right w:val="nil"/>
          <w:between w:val="nil"/>
        </w:pBdr>
        <w:tabs>
          <w:tab w:val="left" w:pos="1134"/>
        </w:tabs>
        <w:spacing w:before="120" w:after="120" w:line="240" w:lineRule="auto"/>
        <w:ind w:left="1134" w:hanging="708"/>
        <w:jc w:val="left"/>
        <w:rPr>
          <w:b/>
          <w:highlight w:val="yellow"/>
        </w:rPr>
      </w:pPr>
      <w:r>
        <w:rPr>
          <w:b/>
          <w:highlight w:val="yellow"/>
        </w:rPr>
        <w:t>Software support &amp; maintenance terms</w:t>
      </w:r>
    </w:p>
    <w:p w14:paraId="5DC3A3BE" w14:textId="6D31DB83" w:rsidR="00232CEE" w:rsidRDefault="00CF0F77">
      <w:pPr>
        <w:numPr>
          <w:ilvl w:val="2"/>
          <w:numId w:val="1"/>
        </w:numPr>
        <w:pBdr>
          <w:top w:val="nil"/>
          <w:left w:val="nil"/>
          <w:bottom w:val="nil"/>
          <w:right w:val="nil"/>
          <w:between w:val="nil"/>
        </w:pBdr>
        <w:tabs>
          <w:tab w:val="left" w:pos="1985"/>
        </w:tabs>
        <w:spacing w:before="120" w:after="120" w:line="240" w:lineRule="auto"/>
        <w:ind w:left="1985" w:hanging="851"/>
        <w:jc w:val="left"/>
        <w:rPr>
          <w:highlight w:val="yellow"/>
        </w:rPr>
      </w:pPr>
      <w:r>
        <w:rPr>
          <w:highlight w:val="yellow"/>
        </w:rPr>
        <w:t>Additional terms for provision of Software support &amp; maintenance services are detailed in [insert reference to relevant Schedule]</w:t>
      </w:r>
      <w:r>
        <w:t>.</w:t>
      </w:r>
      <w:sdt>
        <w:sdtPr>
          <w:tag w:val="goog_rdk_4"/>
          <w:id w:val="1213192079"/>
          <w:showingPlcHdr/>
        </w:sdtPr>
        <w:sdtEndPr/>
        <w:sdtContent>
          <w:r>
            <w:t xml:space="preserve">     </w:t>
          </w:r>
        </w:sdtContent>
      </w:sdt>
    </w:p>
    <w:p w14:paraId="356DA5BD" w14:textId="77777777" w:rsidR="00232CEE" w:rsidRDefault="00232CEE">
      <w:pPr>
        <w:pBdr>
          <w:top w:val="nil"/>
          <w:left w:val="nil"/>
          <w:bottom w:val="nil"/>
          <w:right w:val="nil"/>
          <w:between w:val="nil"/>
        </w:pBdr>
        <w:spacing w:before="120" w:after="120" w:line="240" w:lineRule="auto"/>
        <w:jc w:val="left"/>
        <w:rPr>
          <w:b/>
          <w:i/>
        </w:rPr>
      </w:pPr>
    </w:p>
    <w:sectPr w:rsidR="00232CEE">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375E" w14:textId="77777777" w:rsidR="001E1C6D" w:rsidRDefault="001E1C6D">
      <w:pPr>
        <w:spacing w:after="0" w:line="240" w:lineRule="auto"/>
      </w:pPr>
      <w:r>
        <w:separator/>
      </w:r>
    </w:p>
  </w:endnote>
  <w:endnote w:type="continuationSeparator" w:id="0">
    <w:p w14:paraId="38767A47" w14:textId="77777777" w:rsidR="001E1C6D" w:rsidRDefault="001E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00D9" w14:textId="77777777" w:rsidR="00232CEE" w:rsidRDefault="00232CEE">
    <w:pPr>
      <w:pBdr>
        <w:top w:val="nil"/>
        <w:left w:val="nil"/>
        <w:bottom w:val="nil"/>
        <w:right w:val="nil"/>
        <w:between w:val="nil"/>
      </w:pBdr>
      <w:tabs>
        <w:tab w:val="center" w:pos="4153"/>
        <w:tab w:val="right" w:pos="8306"/>
      </w:tabs>
      <w:spacing w:after="0" w:line="240" w:lineRule="auto"/>
      <w:rPr>
        <w:sz w:val="20"/>
        <w:szCs w:val="20"/>
      </w:rPr>
    </w:pPr>
  </w:p>
  <w:p w14:paraId="30713756" w14:textId="77777777" w:rsidR="00232CEE" w:rsidRDefault="00CF0F77">
    <w:pPr>
      <w:pBdr>
        <w:top w:val="nil"/>
        <w:left w:val="nil"/>
        <w:bottom w:val="nil"/>
        <w:right w:val="nil"/>
        <w:between w:val="nil"/>
      </w:pBdr>
      <w:tabs>
        <w:tab w:val="center" w:pos="4153"/>
        <w:tab w:val="right" w:pos="8306"/>
      </w:tabs>
      <w:spacing w:after="0" w:line="240" w:lineRule="auto"/>
      <w:rPr>
        <w:sz w:val="20"/>
        <w:szCs w:val="20"/>
      </w:rPr>
    </w:pPr>
    <w:r>
      <w:rPr>
        <w:sz w:val="20"/>
        <w:szCs w:val="20"/>
      </w:rPr>
      <w:t>Framework Ref: RM6376</w:t>
    </w:r>
  </w:p>
  <w:p w14:paraId="0264A20E" w14:textId="77777777" w:rsidR="00232CEE" w:rsidRDefault="00CF0F77">
    <w:pPr>
      <w:pBdr>
        <w:top w:val="nil"/>
        <w:left w:val="nil"/>
        <w:bottom w:val="nil"/>
        <w:right w:val="nil"/>
        <w:between w:val="nil"/>
      </w:pBdr>
      <w:tabs>
        <w:tab w:val="center" w:pos="4153"/>
        <w:tab w:val="right" w:pos="830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69A9B552" w14:textId="77777777" w:rsidR="00232CEE" w:rsidRDefault="00CF0F77">
    <w:pPr>
      <w:pBdr>
        <w:top w:val="nil"/>
        <w:left w:val="nil"/>
        <w:bottom w:val="nil"/>
        <w:right w:val="nil"/>
        <w:between w:val="nil"/>
      </w:pBdr>
      <w:tabs>
        <w:tab w:val="center" w:pos="4153"/>
        <w:tab w:val="right" w:pos="8306"/>
      </w:tabs>
      <w:spacing w:after="0" w:line="240" w:lineRule="auto"/>
      <w:rPr>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29323" w14:textId="77777777" w:rsidR="00232CEE" w:rsidRDefault="00232CE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47637105" w14:textId="77777777" w:rsidR="00232CEE" w:rsidRDefault="00CF0F77">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4CF39559" w14:textId="77777777" w:rsidR="00232CEE" w:rsidRDefault="00CF0F77">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37B54A94" w14:textId="77777777" w:rsidR="00232CEE" w:rsidRDefault="00CF0F77">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9B5C" w14:textId="77777777" w:rsidR="001E1C6D" w:rsidRDefault="001E1C6D">
      <w:pPr>
        <w:spacing w:after="0" w:line="240" w:lineRule="auto"/>
      </w:pPr>
      <w:r>
        <w:separator/>
      </w:r>
    </w:p>
  </w:footnote>
  <w:footnote w:type="continuationSeparator" w:id="0">
    <w:p w14:paraId="1B163F3C" w14:textId="77777777" w:rsidR="001E1C6D" w:rsidRDefault="001E1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D3A4" w14:textId="77777777" w:rsidR="00232CEE" w:rsidRDefault="00CF0F77">
    <w:pPr>
      <w:tabs>
        <w:tab w:val="center" w:pos="4513"/>
        <w:tab w:val="right" w:pos="9026"/>
      </w:tabs>
      <w:spacing w:after="0" w:line="240" w:lineRule="auto"/>
      <w:rPr>
        <w:sz w:val="22"/>
        <w:szCs w:val="22"/>
      </w:rPr>
    </w:pPr>
    <w:r>
      <w:rPr>
        <w:b/>
        <w:sz w:val="22"/>
        <w:szCs w:val="22"/>
      </w:rPr>
      <w:t>Call-Off Schedule 6 (ICT Services)</w:t>
    </w:r>
  </w:p>
  <w:p w14:paraId="4AD4EB5B" w14:textId="77777777" w:rsidR="00232CEE" w:rsidRDefault="00CF0F77">
    <w:pPr>
      <w:tabs>
        <w:tab w:val="center" w:pos="4513"/>
        <w:tab w:val="right" w:pos="9026"/>
      </w:tabs>
      <w:spacing w:after="0" w:line="240" w:lineRule="auto"/>
      <w:rPr>
        <w:sz w:val="22"/>
        <w:szCs w:val="22"/>
      </w:rPr>
    </w:pPr>
    <w:r>
      <w:rPr>
        <w:sz w:val="22"/>
        <w:szCs w:val="22"/>
      </w:rPr>
      <w:t>Call-Off Ref:</w:t>
    </w:r>
  </w:p>
  <w:p w14:paraId="6555E569" w14:textId="77777777" w:rsidR="00232CEE" w:rsidRDefault="00CF0F77">
    <w:pPr>
      <w:tabs>
        <w:tab w:val="center" w:pos="4513"/>
        <w:tab w:val="right" w:pos="9026"/>
      </w:tabs>
      <w:spacing w:after="0" w:line="240" w:lineRule="auto"/>
      <w:rPr>
        <w:sz w:val="22"/>
        <w:szCs w:val="22"/>
      </w:rPr>
    </w:pPr>
    <w:r>
      <w:rPr>
        <w:sz w:val="22"/>
        <w:szCs w:val="22"/>
      </w:rPr>
      <w:t>Crown Copyright 2025</w:t>
    </w:r>
  </w:p>
  <w:p w14:paraId="2B4EE7CE" w14:textId="77777777" w:rsidR="00232CEE" w:rsidRDefault="00232CEE">
    <w:pPr>
      <w:pBdr>
        <w:top w:val="nil"/>
        <w:left w:val="nil"/>
        <w:bottom w:val="nil"/>
        <w:right w:val="nil"/>
        <w:between w:val="nil"/>
      </w:pBdr>
      <w:tabs>
        <w:tab w:val="center" w:pos="4153"/>
        <w:tab w:val="right" w:pos="8306"/>
      </w:tabs>
      <w:spacing w:after="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3766" w14:textId="77777777" w:rsidR="00232CEE" w:rsidRDefault="00232CEE">
    <w:pPr>
      <w:tabs>
        <w:tab w:val="center" w:pos="4513"/>
        <w:tab w:val="right" w:pos="9026"/>
      </w:tabs>
      <w:spacing w:after="0" w:line="240" w:lineRule="auto"/>
      <w:rPr>
        <w:rFonts w:ascii="Calibri" w:eastAsia="Calibri" w:hAnsi="Calibri" w:cs="Calibri"/>
      </w:rPr>
    </w:pPr>
  </w:p>
  <w:p w14:paraId="067A2CA9" w14:textId="77777777" w:rsidR="00232CEE" w:rsidRDefault="00232CEE">
    <w:pPr>
      <w:pBdr>
        <w:top w:val="nil"/>
        <w:left w:val="nil"/>
        <w:bottom w:val="nil"/>
        <w:right w:val="nil"/>
        <w:between w:val="nil"/>
      </w:pBd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0158C"/>
    <w:multiLevelType w:val="multilevel"/>
    <w:tmpl w:val="C3C85D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1E851E6F"/>
    <w:multiLevelType w:val="multilevel"/>
    <w:tmpl w:val="9EC0CA9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1F037ED7"/>
    <w:multiLevelType w:val="multilevel"/>
    <w:tmpl w:val="A2701F7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CEE"/>
    <w:rsid w:val="00182653"/>
    <w:rsid w:val="001E1C6D"/>
    <w:rsid w:val="00232CEE"/>
    <w:rsid w:val="00585AB3"/>
    <w:rsid w:val="00CF0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A3F26"/>
  <w15:docId w15:val="{FA788E24-88BE-4481-80B5-7E9EF121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nil"/>
        <w:left w:val="nil"/>
        <w:bottom w:val="nil"/>
        <w:right w:val="nil"/>
        <w:between w:val="nil"/>
      </w:pBdr>
      <w:ind w:left="170" w:hanging="170"/>
      <w:outlineLvl w:val="0"/>
    </w:pPr>
    <w:rPr>
      <w:color w:val="000000"/>
    </w:rPr>
  </w:style>
  <w:style w:type="paragraph" w:styleId="Heading2">
    <w:name w:val="heading 2"/>
    <w:basedOn w:val="Normal"/>
    <w:next w:val="Normal"/>
    <w:link w:val="Heading2Char"/>
    <w:uiPriority w:val="9"/>
    <w:unhideWhenUsed/>
    <w:qFormat/>
    <w:pPr>
      <w:pBdr>
        <w:top w:val="nil"/>
        <w:left w:val="nil"/>
        <w:bottom w:val="nil"/>
        <w:right w:val="nil"/>
        <w:between w:val="nil"/>
      </w:pBdr>
      <w:ind w:left="720" w:hanging="360"/>
      <w:outlineLvl w:val="1"/>
    </w:pPr>
    <w:rPr>
      <w:rFonts w:ascii="Calibri" w:eastAsia="Calibri" w:hAnsi="Calibri" w:cs="Calibri"/>
      <w:color w:val="000000"/>
    </w:rPr>
  </w:style>
  <w:style w:type="paragraph" w:styleId="Heading3">
    <w:name w:val="heading 3"/>
    <w:basedOn w:val="Normal"/>
    <w:next w:val="Normal"/>
    <w:link w:val="Heading3Char"/>
    <w:uiPriority w:val="9"/>
    <w:semiHidden/>
    <w:unhideWhenUsed/>
    <w:qFormat/>
    <w:pPr>
      <w:pBdr>
        <w:top w:val="nil"/>
        <w:left w:val="nil"/>
        <w:bottom w:val="nil"/>
        <w:right w:val="nil"/>
        <w:between w:val="nil"/>
      </w:pBdr>
      <w:ind w:left="1080" w:hanging="360"/>
      <w:outlineLvl w:val="2"/>
    </w:pPr>
    <w:rPr>
      <w:color w:val="000000"/>
    </w:rPr>
  </w:style>
  <w:style w:type="paragraph" w:styleId="Heading4">
    <w:name w:val="heading 4"/>
    <w:basedOn w:val="Normal"/>
    <w:next w:val="Normal"/>
    <w:link w:val="Heading4Char"/>
    <w:uiPriority w:val="9"/>
    <w:semiHidden/>
    <w:unhideWhenUsed/>
    <w:qFormat/>
    <w:pPr>
      <w:pBdr>
        <w:top w:val="nil"/>
        <w:left w:val="nil"/>
        <w:bottom w:val="nil"/>
        <w:right w:val="nil"/>
        <w:between w:val="nil"/>
      </w:pBdr>
      <w:ind w:left="1440" w:hanging="360"/>
      <w:outlineLvl w:val="3"/>
    </w:pPr>
    <w:rPr>
      <w:color w:val="000000"/>
    </w:rPr>
  </w:style>
  <w:style w:type="paragraph" w:styleId="Heading5">
    <w:name w:val="heading 5"/>
    <w:basedOn w:val="Normal"/>
    <w:next w:val="Normal"/>
    <w:link w:val="Heading5Char"/>
    <w:uiPriority w:val="9"/>
    <w:semiHidden/>
    <w:unhideWhenUsed/>
    <w:qFormat/>
    <w:pPr>
      <w:pBdr>
        <w:top w:val="nil"/>
        <w:left w:val="nil"/>
        <w:bottom w:val="nil"/>
        <w:right w:val="nil"/>
        <w:between w:val="nil"/>
      </w:pBdr>
      <w:ind w:left="1800" w:hanging="360"/>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ind w:left="2160" w:hanging="360"/>
      <w:outlineLvl w:val="5"/>
    </w:pPr>
    <w:rPr>
      <w:color w:val="000000"/>
    </w:r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before="240" w:after="60"/>
      <w:jc w:val="center"/>
    </w:pPr>
    <w:rPr>
      <w:b/>
      <w:sz w:val="32"/>
      <w:szCs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
      </w:numPr>
    </w:pPr>
    <w:rPr>
      <w:rFonts w:ascii="Calibri" w:hAnsi="Calibri"/>
    </w:rPr>
  </w:style>
  <w:style w:type="paragraph" w:styleId="BodyTextIndent2">
    <w:name w:val="Body Text Indent 2"/>
    <w:basedOn w:val="HouseStyleBase"/>
    <w:link w:val="BodyTextIndent2Char"/>
    <w:pPr>
      <w:numPr>
        <w:ilvl w:val="1"/>
        <w:numId w:val="3"/>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ind w:left="720" w:hanging="720"/>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3"/>
      </w:numPr>
      <w:spacing w:after="120"/>
      <w:outlineLvl w:val="0"/>
    </w:pPr>
    <w:rPr>
      <w:rFonts w:ascii="Calibri" w:hAnsi="Calibri"/>
    </w:rPr>
  </w:style>
  <w:style w:type="paragraph" w:customStyle="1" w:styleId="DefinitionNumbering2">
    <w:name w:val="Definition Numbering 2"/>
    <w:basedOn w:val="HouseStyleBase"/>
    <w:pPr>
      <w:numPr>
        <w:ilvl w:val="3"/>
        <w:numId w:val="3"/>
      </w:numPr>
      <w:outlineLvl w:val="1"/>
    </w:pPr>
  </w:style>
  <w:style w:type="paragraph" w:customStyle="1" w:styleId="DefinitionNumbering3">
    <w:name w:val="Definition Numbering 3"/>
    <w:basedOn w:val="HouseStyleBase"/>
    <w:pPr>
      <w:numPr>
        <w:ilvl w:val="4"/>
        <w:numId w:val="3"/>
      </w:numPr>
      <w:outlineLvl w:val="2"/>
    </w:pPr>
  </w:style>
  <w:style w:type="paragraph" w:customStyle="1" w:styleId="DefinitionNumbering4">
    <w:name w:val="Definition Numbering 4"/>
    <w:basedOn w:val="HouseStyleBase"/>
    <w:pPr>
      <w:numPr>
        <w:ilvl w:val="5"/>
        <w:numId w:val="3"/>
      </w:numPr>
      <w:outlineLvl w:val="3"/>
    </w:pPr>
  </w:style>
  <w:style w:type="paragraph" w:customStyle="1" w:styleId="DefinitionNumbering5">
    <w:name w:val="Definition Numbering 5"/>
    <w:basedOn w:val="HouseStyleBase"/>
    <w:pPr>
      <w:numPr>
        <w:ilvl w:val="6"/>
        <w:numId w:val="3"/>
      </w:numPr>
      <w:outlineLvl w:val="4"/>
    </w:pPr>
  </w:style>
  <w:style w:type="paragraph" w:customStyle="1" w:styleId="DefinitionNumbering6">
    <w:name w:val="Definition Numbering 6"/>
    <w:basedOn w:val="HouseStyleBase"/>
    <w:pPr>
      <w:numPr>
        <w:ilvl w:val="7"/>
        <w:numId w:val="3"/>
      </w:numPr>
      <w:outlineLvl w:val="5"/>
    </w:pPr>
  </w:style>
  <w:style w:type="paragraph" w:customStyle="1" w:styleId="DefinitionNumbering7">
    <w:name w:val="Definition Numbering 7"/>
    <w:basedOn w:val="HouseStyleBase"/>
    <w:pPr>
      <w:numPr>
        <w:ilvl w:val="8"/>
        <w:numId w:val="3"/>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ind w:left="1440" w:hanging="720"/>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overflowPunct w:val="0"/>
      <w:autoSpaceDE w:val="0"/>
      <w:autoSpaceDN w:val="0"/>
      <w:spacing w:before="240" w:after="60"/>
      <w:ind w:left="0" w:firstLine="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jc w:val="left"/>
    </w:pPr>
    <w:rPr>
      <w:rFonts w:ascii="Trebuchet MS" w:eastAsia="Trebuchet MS" w:hAnsi="Trebuchet MS"/>
    </w:rPr>
  </w:style>
  <w:style w:type="paragraph" w:customStyle="1" w:styleId="Heading2-NotBoldNotUnderlined">
    <w:name w:val="Heading 2 - Not Bold Not Underlined"/>
    <w:basedOn w:val="Heading2"/>
    <w:uiPriority w:val="3"/>
    <w:qFormat/>
    <w:pPr>
      <w:spacing w:after="200"/>
      <w:ind w:left="1582" w:hanging="720"/>
    </w:pPr>
    <w:rPr>
      <w:rFonts w:ascii="Arial" w:hAnsi="Arial"/>
      <w:sz w:val="20"/>
      <w:lang w:eastAsia="en-US"/>
    </w:rPr>
  </w:style>
  <w:style w:type="paragraph" w:customStyle="1" w:styleId="Body2">
    <w:name w:val="Body2"/>
    <w:basedOn w:val="Normal"/>
    <w:pPr>
      <w:ind w:left="709"/>
    </w:pPr>
  </w:style>
  <w:style w:type="paragraph" w:customStyle="1" w:styleId="GPSL1CLAUSEHEADING">
    <w:name w:val="GPS L1 CLAUSE HEADING"/>
    <w:basedOn w:val="Normal"/>
    <w:next w:val="Normal"/>
    <w:qFormat/>
    <w:pPr>
      <w:tabs>
        <w:tab w:val="left" w:pos="142"/>
      </w:tabs>
      <w:spacing w:before="120" w:line="240" w:lineRule="auto"/>
      <w:outlineLvl w:val="1"/>
    </w:pPr>
    <w:rPr>
      <w:rFonts w:ascii="Calibri" w:eastAsia="STZhongsong" w:hAnsi="Calibri"/>
      <w:b/>
      <w:caps/>
      <w:lang w:eastAsia="zh-CN"/>
    </w:rPr>
  </w:style>
  <w:style w:type="paragraph" w:customStyle="1" w:styleId="GPSL3numberedclause">
    <w:name w:val="GPS L3 numbered clause"/>
    <w:basedOn w:val="Normal"/>
    <w:link w:val="GPSL3numberedclauseChar"/>
    <w:qFormat/>
    <w:pPr>
      <w:tabs>
        <w:tab w:val="left" w:pos="1985"/>
      </w:tabs>
      <w:spacing w:before="120" w:after="120" w:line="240" w:lineRule="auto"/>
    </w:pPr>
    <w:rPr>
      <w:rFonts w:ascii="Calibri" w:hAnsi="Calibri"/>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spacing w:before="120" w:after="120" w:line="240" w:lineRule="auto"/>
    </w:pPr>
    <w:rPr>
      <w:rFonts w:ascii="Calibri" w:hAnsi="Calibri"/>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spacing w:before="120" w:after="120" w:line="240" w:lineRule="auto"/>
      <w:ind w:left="1134" w:hanging="567"/>
    </w:pPr>
    <w:rPr>
      <w:rFonts w:ascii="Calibri" w:hAnsi="Calibri"/>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spacing w:after="220" w:line="240" w:lineRule="auto"/>
      <w:ind w:left="1412"/>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styleId="Subtitle">
    <w:name w:val="Subtitle"/>
    <w:basedOn w:val="Normal"/>
    <w:next w:val="Normal"/>
    <w:link w:val="SubtitleChar"/>
    <w:uiPriority w:val="11"/>
    <w:qFormat/>
    <w:pPr>
      <w:spacing w:after="60"/>
      <w:jc w:val="center"/>
    </w:pPr>
    <w:rPr>
      <w:rFonts w:ascii="Cambria" w:eastAsia="Cambria" w:hAnsi="Cambria" w:cs="Cambria"/>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9BOVhnrc8B66W2DfvHPJblBUQA==">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1350</Words>
  <Characters>7697</Characters>
  <Application>Microsoft Office Word</Application>
  <DocSecurity>0</DocSecurity>
  <Lines>64</Lines>
  <Paragraphs>18</Paragraphs>
  <ScaleCrop>false</ScaleCrop>
  <Company>Government Legal Department</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James Moreton</cp:lastModifiedBy>
  <cp:revision>2</cp:revision>
  <dcterms:created xsi:type="dcterms:W3CDTF">2025-10-24T11:11:00Z</dcterms:created>
  <dcterms:modified xsi:type="dcterms:W3CDTF">2025-10-24T11:11:00Z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90871688-1</vt:lpwstr>
  </property>
</Properties>
</file>